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E04C6">
      <w:pPr>
        <w:jc w:val="center"/>
        <w:rPr>
          <w:rFonts w:hint="eastAsia" w:ascii="仿宋_GB2312" w:eastAsia="仿宋_GB2312"/>
          <w:b/>
          <w:sz w:val="32"/>
          <w:szCs w:val="32"/>
          <w:lang w:eastAsia="zh-CN"/>
        </w:rPr>
      </w:pPr>
    </w:p>
    <w:p w14:paraId="55536B88">
      <w:pPr>
        <w:jc w:val="center"/>
        <w:rPr>
          <w:rFonts w:ascii="黑体" w:eastAsia="黑体"/>
          <w:sz w:val="72"/>
          <w:szCs w:val="72"/>
        </w:rPr>
      </w:pPr>
    </w:p>
    <w:p w14:paraId="5FC97948">
      <w:pPr>
        <w:jc w:val="center"/>
        <w:rPr>
          <w:rFonts w:ascii="黑体" w:eastAsia="黑体"/>
          <w:sz w:val="72"/>
          <w:szCs w:val="72"/>
        </w:rPr>
      </w:pPr>
    </w:p>
    <w:p w14:paraId="25FA754E">
      <w:pPr>
        <w:jc w:val="center"/>
        <w:rPr>
          <w:rFonts w:ascii="黑体" w:eastAsia="黑体"/>
          <w:sz w:val="72"/>
          <w:szCs w:val="72"/>
        </w:rPr>
      </w:pPr>
    </w:p>
    <w:p w14:paraId="41FFEF85">
      <w:pPr>
        <w:jc w:val="center"/>
        <w:rPr>
          <w:rFonts w:ascii="黑体" w:eastAsia="黑体"/>
          <w:sz w:val="72"/>
          <w:szCs w:val="72"/>
        </w:rPr>
      </w:pPr>
    </w:p>
    <w:p w14:paraId="00FBE334">
      <w:pPr>
        <w:jc w:val="center"/>
        <w:rPr>
          <w:rFonts w:hint="eastAsia" w:ascii="黑体" w:eastAsia="黑体"/>
          <w:sz w:val="72"/>
          <w:szCs w:val="72"/>
          <w:lang w:eastAsia="zh-CN"/>
        </w:rPr>
      </w:pPr>
      <w:r>
        <w:rPr>
          <w:rFonts w:hint="eastAsia" w:ascii="黑体" w:eastAsia="黑体"/>
          <w:sz w:val="72"/>
          <w:szCs w:val="72"/>
        </w:rPr>
        <w:t>2023年度部门决算</w:t>
      </w:r>
      <w:r>
        <w:rPr>
          <w:rFonts w:hint="eastAsia" w:ascii="黑体" w:eastAsia="黑体"/>
          <w:sz w:val="72"/>
          <w:szCs w:val="72"/>
          <w:lang w:eastAsia="zh-CN"/>
        </w:rPr>
        <w:t>公开</w:t>
      </w:r>
    </w:p>
    <w:p w14:paraId="612F4BDA">
      <w:pPr>
        <w:pStyle w:val="2"/>
        <w:rPr>
          <w:rFonts w:hint="eastAsia" w:ascii="黑体" w:hAnsi="Times New Roman" w:eastAsia="黑体" w:cs="Times New Roman"/>
          <w:kern w:val="2"/>
          <w:sz w:val="72"/>
          <w:szCs w:val="72"/>
          <w:lang w:val="en-US" w:eastAsia="zh-CN" w:bidi="ar-SA"/>
        </w:rPr>
      </w:pPr>
    </w:p>
    <w:p w14:paraId="4F465FC9">
      <w:pPr>
        <w:jc w:val="center"/>
        <w:rPr>
          <w:rFonts w:hint="default" w:ascii="宋体" w:hAnsi="宋体" w:eastAsia="宋体"/>
          <w:sz w:val="36"/>
          <w:szCs w:val="36"/>
          <w:lang w:val="en-US" w:eastAsia="zh-CN"/>
        </w:rPr>
      </w:pPr>
      <w:r>
        <w:rPr>
          <w:rFonts w:hint="eastAsia" w:ascii="宋体" w:hAnsi="宋体"/>
          <w:sz w:val="36"/>
          <w:szCs w:val="36"/>
        </w:rPr>
        <w:t>单位名称：</w:t>
      </w:r>
      <w:r>
        <w:rPr>
          <w:rFonts w:hint="eastAsia" w:ascii="宋体" w:hAnsi="宋体"/>
          <w:sz w:val="36"/>
          <w:szCs w:val="36"/>
          <w:lang w:val="en-US" w:eastAsia="zh-CN"/>
        </w:rPr>
        <w:t>北京演艺集团有限责任公司</w:t>
      </w:r>
    </w:p>
    <w:p w14:paraId="55741820">
      <w:pPr>
        <w:pStyle w:val="2"/>
        <w:jc w:val="center"/>
      </w:pPr>
    </w:p>
    <w:p w14:paraId="2A0137AB">
      <w:pPr>
        <w:jc w:val="center"/>
        <w:rPr>
          <w:rFonts w:ascii="黑体" w:eastAsia="黑体"/>
          <w:sz w:val="52"/>
          <w:szCs w:val="52"/>
        </w:rPr>
      </w:pPr>
    </w:p>
    <w:p w14:paraId="5607AB76">
      <w:pPr>
        <w:jc w:val="center"/>
        <w:rPr>
          <w:rFonts w:ascii="黑体" w:eastAsia="黑体"/>
          <w:sz w:val="52"/>
          <w:szCs w:val="52"/>
        </w:rPr>
      </w:pPr>
    </w:p>
    <w:p w14:paraId="442723CD">
      <w:pPr>
        <w:jc w:val="center"/>
        <w:rPr>
          <w:rFonts w:ascii="黑体" w:eastAsia="黑体"/>
          <w:sz w:val="52"/>
          <w:szCs w:val="52"/>
        </w:rPr>
      </w:pPr>
    </w:p>
    <w:p w14:paraId="21B45B95">
      <w:pPr>
        <w:jc w:val="center"/>
        <w:rPr>
          <w:rFonts w:ascii="黑体" w:eastAsia="黑体"/>
          <w:sz w:val="52"/>
          <w:szCs w:val="52"/>
        </w:rPr>
      </w:pPr>
    </w:p>
    <w:p w14:paraId="0F3DE71C">
      <w:pPr>
        <w:jc w:val="center"/>
        <w:rPr>
          <w:rFonts w:ascii="黑体" w:eastAsia="黑体"/>
          <w:sz w:val="32"/>
          <w:szCs w:val="32"/>
        </w:rPr>
      </w:pPr>
    </w:p>
    <w:p w14:paraId="71C23FE8">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2257909D">
      <w:pPr>
        <w:spacing w:line="500" w:lineRule="exact"/>
        <w:ind w:firstLine="645"/>
        <w:jc w:val="center"/>
        <w:rPr>
          <w:rFonts w:ascii="宋体" w:hAnsi="宋体" w:cs="宋体"/>
          <w:b/>
          <w:bCs/>
          <w:kern w:val="0"/>
          <w:sz w:val="36"/>
          <w:szCs w:val="36"/>
        </w:rPr>
      </w:pPr>
    </w:p>
    <w:p w14:paraId="5AF8452F">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2023年度部门决算报表</w:t>
      </w:r>
    </w:p>
    <w:p w14:paraId="783514BD">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257501C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2EDEEA0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2240B6D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46C7B43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14:paraId="6FCCFA9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14:paraId="52ABA0A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14:paraId="0120F23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2304E1A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4E5FF01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14:paraId="285ECC4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14:paraId="64199C8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14:paraId="3E45670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14:paraId="4A6F8770">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2023年度部门决算说明</w:t>
      </w:r>
    </w:p>
    <w:p w14:paraId="5465B751">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2023年度</w:t>
      </w:r>
      <w:r>
        <w:rPr>
          <w:rFonts w:hint="eastAsia" w:ascii="宋体" w:hAnsi="宋体" w:cs="宋体"/>
          <w:spacing w:val="40"/>
          <w:kern w:val="0"/>
          <w:sz w:val="32"/>
          <w:szCs w:val="32"/>
        </w:rPr>
        <w:t>其他重要事项的情况说明</w:t>
      </w:r>
    </w:p>
    <w:p w14:paraId="378B6F0F">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2023年度部门绩效评价情况</w:t>
      </w:r>
    </w:p>
    <w:p w14:paraId="0F34F994">
      <w:pPr>
        <w:tabs>
          <w:tab w:val="center" w:pos="6979"/>
        </w:tabs>
        <w:spacing w:before="156" w:beforeLines="50" w:after="156" w:afterLines="50"/>
        <w:jc w:val="center"/>
        <w:rPr>
          <w:rFonts w:ascii="宋体" w:hAnsi="宋体" w:cs="宋体"/>
          <w:b/>
          <w:bCs/>
          <w:spacing w:val="40"/>
          <w:kern w:val="0"/>
          <w:sz w:val="32"/>
          <w:szCs w:val="32"/>
        </w:rPr>
      </w:pPr>
    </w:p>
    <w:p w14:paraId="4A35498D">
      <w:pPr>
        <w:tabs>
          <w:tab w:val="center" w:pos="6979"/>
        </w:tabs>
        <w:spacing w:before="156" w:beforeLines="50" w:after="156" w:afterLines="50"/>
        <w:jc w:val="center"/>
        <w:rPr>
          <w:rFonts w:ascii="宋体" w:hAnsi="宋体" w:cs="宋体"/>
          <w:b/>
          <w:bCs/>
          <w:spacing w:val="40"/>
          <w:kern w:val="0"/>
          <w:sz w:val="32"/>
          <w:szCs w:val="32"/>
        </w:rPr>
      </w:pPr>
    </w:p>
    <w:p w14:paraId="1A55EDE7">
      <w:pPr>
        <w:tabs>
          <w:tab w:val="center" w:pos="6979"/>
        </w:tabs>
        <w:spacing w:before="156" w:beforeLines="50" w:after="156" w:afterLines="50"/>
        <w:jc w:val="center"/>
        <w:rPr>
          <w:rFonts w:ascii="宋体" w:hAnsi="宋体" w:cs="宋体"/>
          <w:b/>
          <w:bCs/>
          <w:spacing w:val="40"/>
          <w:kern w:val="0"/>
          <w:sz w:val="32"/>
          <w:szCs w:val="32"/>
        </w:rPr>
      </w:pPr>
    </w:p>
    <w:p w14:paraId="5FA404B3">
      <w:pPr>
        <w:tabs>
          <w:tab w:val="center" w:pos="6979"/>
        </w:tabs>
        <w:spacing w:before="156" w:beforeLines="50" w:after="156" w:afterLines="50"/>
        <w:jc w:val="center"/>
        <w:rPr>
          <w:rFonts w:ascii="宋体" w:hAnsi="宋体" w:cs="宋体"/>
          <w:b/>
          <w:bCs/>
          <w:spacing w:val="40"/>
          <w:kern w:val="0"/>
          <w:sz w:val="32"/>
          <w:szCs w:val="32"/>
        </w:rPr>
      </w:pPr>
    </w:p>
    <w:p w14:paraId="3388524C">
      <w:pPr>
        <w:tabs>
          <w:tab w:val="center" w:pos="6979"/>
        </w:tabs>
        <w:spacing w:before="156" w:beforeLines="50" w:after="156" w:afterLines="50"/>
        <w:jc w:val="center"/>
        <w:rPr>
          <w:rFonts w:ascii="宋体" w:hAnsi="宋体" w:cs="宋体"/>
          <w:b/>
          <w:bCs/>
          <w:spacing w:val="40"/>
          <w:kern w:val="0"/>
          <w:sz w:val="32"/>
          <w:szCs w:val="32"/>
        </w:rPr>
      </w:pPr>
    </w:p>
    <w:p w14:paraId="780441BE">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2023年度部门决算报表</w:t>
      </w:r>
    </w:p>
    <w:p w14:paraId="71AB9BA0">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6484BE58">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2023年度部门决算说明</w:t>
      </w:r>
    </w:p>
    <w:p w14:paraId="259FD003">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一、部门/单位基本情况</w:t>
      </w:r>
    </w:p>
    <w:p w14:paraId="2F4C42E7">
      <w:pPr>
        <w:tabs>
          <w:tab w:val="center" w:pos="6979"/>
        </w:tabs>
        <w:spacing w:line="580" w:lineRule="exact"/>
        <w:ind w:firstLine="420" w:firstLineChars="150"/>
        <w:rPr>
          <w:rFonts w:hint="eastAsia"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14:paraId="74E71CCB">
      <w:pPr>
        <w:tabs>
          <w:tab w:val="center" w:pos="6979"/>
        </w:tabs>
        <w:spacing w:line="580" w:lineRule="exact"/>
        <w:ind w:firstLine="420" w:firstLineChars="150"/>
        <w:rPr>
          <w:rFonts w:hint="eastAsia" w:ascii="仿宋_GB2312" w:eastAsia="仿宋_GB2312"/>
          <w:sz w:val="28"/>
          <w:szCs w:val="28"/>
        </w:rPr>
      </w:pPr>
      <w:r>
        <w:rPr>
          <w:rFonts w:hint="eastAsia" w:ascii="仿宋_GB2312" w:eastAsia="仿宋_GB2312"/>
          <w:sz w:val="28"/>
          <w:szCs w:val="28"/>
        </w:rPr>
        <w:t>北京演艺集团有限责任公司旗下拥有26家单位，其中25家单位均为企业，仅有一家北京市杂技学校为事业单位，25家企业包含：中国杂技团、中国评剧院、中国木偶艺术剧院、北京歌剧舞剧院、北京儿童艺术剧院、北京曲艺团、北京民族乐团、北京市河北梆子剧团、北京市曲剧团等9家文艺院团，以及北京市电影公司、国家体育馆，以及音像公司、传媒公司、艺发公司、舞美公司、体育公司、军艺英华公司、电影器材、新影联（票务）、京演（香港）公司等。集团内设财务等部门13个。</w:t>
      </w:r>
    </w:p>
    <w:p w14:paraId="2E548146">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北京演艺集团有限责任公司是市属国有大型独资文化企业，组建于2009年5月，肩负着整合资源，打造国有骨干文化企业，服务北京全国文化中心建设，发挥文化体制改革示范引领作用的重要使命。集团资产规模、营业收入、利润总额均在全国省级演艺企业名列前茅，是全国文化体制改革的一面旗帜。集团组建以来，坚持把社会效益放在首位，努力实现社会效益和经济效益相统一的发展定位，按照坚持社会主义先进文化方向、坚持改革创新、坚持文艺精品战略、坚持文化走出去的方针，始终以人民为创作导向、以演出为中心环节，聚焦“三精”目标任务，推行“出精品、出票房、出市场占有率”的经营目标责任制，加强文艺精品创作生产、线上线下演出平台品牌推广，为所属文艺院团及其他二级企业发展提供战略支撑平台。</w:t>
      </w:r>
    </w:p>
    <w:p w14:paraId="43CB3FE0">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（二）人员构成情况</w:t>
      </w:r>
    </w:p>
    <w:p w14:paraId="6D20C7A3">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北京演艺集团有限责任公司是市属国有独资企业，下属有一家公益二类事业单位北京市杂技学校：事业编制160人，实有人数107人。</w:t>
      </w:r>
    </w:p>
    <w:p w14:paraId="110561C3">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32782C85">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47055.59</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5530.05</w:t>
      </w:r>
      <w:r>
        <w:rPr>
          <w:rFonts w:hint="eastAsia" w:ascii="仿宋_GB2312" w:eastAsia="仿宋_GB2312"/>
          <w:sz w:val="28"/>
          <w:szCs w:val="28"/>
        </w:rPr>
        <w:t>万元，下降</w:t>
      </w:r>
      <w:r>
        <w:rPr>
          <w:rFonts w:hint="eastAsia" w:ascii="仿宋_GB2312" w:eastAsia="仿宋_GB2312"/>
          <w:sz w:val="28"/>
          <w:szCs w:val="28"/>
          <w:lang w:val="en-US" w:eastAsia="zh-CN"/>
        </w:rPr>
        <w:t>10.52</w:t>
      </w:r>
      <w:r>
        <w:rPr>
          <w:rFonts w:hint="eastAsia" w:ascii="仿宋_GB2312" w:eastAsia="仿宋_GB2312"/>
          <w:sz w:val="28"/>
          <w:szCs w:val="28"/>
        </w:rPr>
        <w:t>%。</w:t>
      </w:r>
    </w:p>
    <w:p w14:paraId="2988BF1F">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23807B3A">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2023年度本年收入合计</w:t>
      </w:r>
      <w:r>
        <w:rPr>
          <w:rFonts w:ascii="仿宋_GB2312" w:eastAsia="仿宋_GB2312"/>
          <w:sz w:val="28"/>
          <w:szCs w:val="28"/>
        </w:rPr>
        <w:t>43556.41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2774.38</w:t>
      </w:r>
      <w:r>
        <w:rPr>
          <w:rFonts w:hint="eastAsia" w:ascii="仿宋_GB2312" w:eastAsia="仿宋_GB2312"/>
          <w:sz w:val="28"/>
          <w:szCs w:val="28"/>
        </w:rPr>
        <w:t>万元，下降</w:t>
      </w:r>
      <w:r>
        <w:rPr>
          <w:rFonts w:hint="eastAsia" w:ascii="仿宋_GB2312" w:eastAsia="仿宋_GB2312"/>
          <w:sz w:val="28"/>
          <w:szCs w:val="28"/>
          <w:lang w:val="en-US" w:eastAsia="zh-CN"/>
        </w:rPr>
        <w:t>5.99</w:t>
      </w:r>
      <w:r>
        <w:rPr>
          <w:rFonts w:hint="eastAsia" w:ascii="仿宋_GB2312" w:eastAsia="仿宋_GB2312"/>
          <w:sz w:val="28"/>
          <w:szCs w:val="28"/>
        </w:rPr>
        <w:t>%</w:t>
      </w:r>
      <w:r>
        <w:rPr>
          <w:rFonts w:hint="eastAsia" w:ascii="仿宋_GB2312" w:eastAsia="仿宋_GB2312"/>
          <w:sz w:val="28"/>
          <w:szCs w:val="28"/>
          <w:lang w:eastAsia="zh-CN"/>
        </w:rPr>
        <w:t>。</w:t>
      </w:r>
    </w:p>
    <w:p w14:paraId="0F55A7BF">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43162.51</w:t>
      </w:r>
      <w:r>
        <w:rPr>
          <w:rFonts w:hint="eastAsia" w:ascii="仿宋_GB2312" w:eastAsia="仿宋_GB2312"/>
          <w:sz w:val="28"/>
          <w:szCs w:val="28"/>
        </w:rPr>
        <w:t>万元，占收入合计的</w:t>
      </w:r>
      <w:r>
        <w:rPr>
          <w:rFonts w:hint="eastAsia" w:ascii="仿宋_GB2312" w:eastAsia="仿宋_GB2312"/>
          <w:sz w:val="28"/>
          <w:szCs w:val="28"/>
          <w:lang w:eastAsia="zh-CN"/>
        </w:rPr>
        <w:t>99</w:t>
      </w:r>
      <w:r>
        <w:rPr>
          <w:rFonts w:hint="eastAsia" w:ascii="仿宋_GB2312" w:eastAsia="仿宋_GB2312"/>
          <w:sz w:val="28"/>
          <w:szCs w:val="28"/>
        </w:rPr>
        <w:t>%。其中：一般公共预算财政拨款收入</w:t>
      </w:r>
      <w:r>
        <w:rPr>
          <w:rFonts w:ascii="仿宋_GB2312" w:eastAsia="仿宋_GB2312"/>
          <w:sz w:val="28"/>
          <w:szCs w:val="28"/>
        </w:rPr>
        <w:t>43162.51</w:t>
      </w:r>
      <w:r>
        <w:rPr>
          <w:rFonts w:hint="eastAsia" w:ascii="仿宋_GB2312" w:eastAsia="仿宋_GB2312"/>
          <w:sz w:val="28"/>
          <w:szCs w:val="28"/>
        </w:rPr>
        <w:t>万元，占收入合计的</w:t>
      </w:r>
      <w:r>
        <w:rPr>
          <w:rFonts w:hint="eastAsia" w:ascii="仿宋_GB2312" w:eastAsia="仿宋_GB2312"/>
          <w:sz w:val="28"/>
          <w:szCs w:val="28"/>
          <w:lang w:eastAsia="zh-CN"/>
        </w:rPr>
        <w:t>99</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725F2B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912B12E">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353.72</w:t>
      </w:r>
      <w:r>
        <w:rPr>
          <w:rFonts w:hint="eastAsia" w:ascii="仿宋_GB2312" w:eastAsia="仿宋_GB2312"/>
          <w:sz w:val="28"/>
          <w:szCs w:val="28"/>
        </w:rPr>
        <w:t>万元，占收入合计的</w:t>
      </w:r>
      <w:r>
        <w:rPr>
          <w:rFonts w:hint="eastAsia" w:ascii="仿宋_GB2312" w:eastAsia="仿宋_GB2312"/>
          <w:sz w:val="28"/>
          <w:szCs w:val="28"/>
          <w:lang w:eastAsia="zh-CN"/>
        </w:rPr>
        <w:t>1</w:t>
      </w:r>
      <w:r>
        <w:rPr>
          <w:rFonts w:hint="eastAsia" w:ascii="仿宋_GB2312" w:eastAsia="仿宋_GB2312"/>
          <w:sz w:val="28"/>
          <w:szCs w:val="28"/>
        </w:rPr>
        <w:t>%；</w:t>
      </w:r>
    </w:p>
    <w:p w14:paraId="6E054C7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18DF488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4B7934E">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40.18</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B71BA2F">
      <w:pPr>
        <w:pStyle w:val="3"/>
        <w:jc w:val="center"/>
        <w:rPr>
          <w:rFonts w:hint="eastAsia"/>
        </w:rPr>
      </w:pPr>
      <w:r>
        <w:rPr>
          <w:rFonts w:hint="eastAsia" w:ascii="仿宋_GB2312" w:eastAsia="仿宋_GB2312"/>
          <w:color w:val="000000"/>
          <w:sz w:val="32"/>
        </w:rPr>
        <w:t>图1：收入决算</w:t>
      </w:r>
    </w:p>
    <w:p w14:paraId="7E9F54C6">
      <w:pPr>
        <w:pStyle w:val="2"/>
        <w:ind w:firstLine="420"/>
        <w:jc w:val="center"/>
      </w:pPr>
      <w:r>
        <w:rPr>
          <w:rFonts w:hint="eastAsia"/>
          <w:lang w:val="en-US" w:eastAsia="zh-CN"/>
        </w:rPr>
        <w:drawing>
          <wp:inline distT="0" distB="0" distL="114300" distR="114300">
            <wp:extent cx="5149215" cy="2509520"/>
            <wp:effectExtent l="4445" t="4445" r="8890" b="19685"/>
            <wp:docPr id="2" name="图表 2"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53516B3">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17C60D4A">
      <w:pPr>
        <w:tabs>
          <w:tab w:val="center" w:pos="6979"/>
        </w:tabs>
        <w:spacing w:line="580" w:lineRule="exact"/>
        <w:ind w:firstLine="570"/>
        <w:rPr>
          <w:rFonts w:ascii="仿宋_GB2312" w:eastAsia="仿宋_GB2312" w:cs="Droid Sans"/>
          <w:color w:val="000000"/>
          <w:sz w:val="32"/>
          <w:szCs w:val="32"/>
        </w:rPr>
      </w:pPr>
      <w:r>
        <w:rPr>
          <w:rFonts w:hint="eastAsia" w:ascii="仿宋_GB2312" w:eastAsia="仿宋_GB2312"/>
          <w:sz w:val="28"/>
          <w:szCs w:val="28"/>
        </w:rPr>
        <w:t>2023年度本年支出合计</w:t>
      </w:r>
      <w:r>
        <w:rPr>
          <w:rFonts w:ascii="仿宋_GB2312" w:eastAsia="仿宋_GB2312"/>
          <w:sz w:val="28"/>
          <w:szCs w:val="28"/>
        </w:rPr>
        <w:t>43100.23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1750.74</w:t>
      </w:r>
      <w:r>
        <w:rPr>
          <w:rFonts w:hint="eastAsia" w:ascii="仿宋_GB2312" w:eastAsia="仿宋_GB2312"/>
          <w:sz w:val="28"/>
          <w:szCs w:val="28"/>
        </w:rPr>
        <w:t>万元，下降</w:t>
      </w:r>
      <w:r>
        <w:rPr>
          <w:rFonts w:hint="eastAsia" w:ascii="仿宋_GB2312" w:eastAsia="仿宋_GB2312"/>
          <w:sz w:val="28"/>
          <w:szCs w:val="28"/>
          <w:lang w:val="en-US" w:eastAsia="zh-CN"/>
        </w:rPr>
        <w:t>3.90</w:t>
      </w:r>
      <w:r>
        <w:rPr>
          <w:rFonts w:hint="eastAsia" w:ascii="仿宋_GB2312" w:eastAsia="仿宋_GB2312"/>
          <w:sz w:val="28"/>
          <w:szCs w:val="28"/>
        </w:rPr>
        <w:t>%，其中：基本支出</w:t>
      </w:r>
      <w:r>
        <w:rPr>
          <w:rFonts w:ascii="仿宋_GB2312" w:eastAsia="仿宋_GB2312"/>
          <w:sz w:val="28"/>
          <w:szCs w:val="28"/>
        </w:rPr>
        <w:t>5153.15</w:t>
      </w:r>
      <w:r>
        <w:rPr>
          <w:rFonts w:hint="eastAsia" w:ascii="仿宋_GB2312" w:eastAsia="仿宋_GB2312"/>
          <w:sz w:val="28"/>
          <w:szCs w:val="28"/>
        </w:rPr>
        <w:t>万元，占支出合计的</w:t>
      </w:r>
      <w:r>
        <w:rPr>
          <w:rFonts w:hint="eastAsia" w:ascii="仿宋_GB2312" w:eastAsia="仿宋_GB2312"/>
          <w:sz w:val="28"/>
          <w:szCs w:val="28"/>
          <w:lang w:eastAsia="zh-CN"/>
        </w:rPr>
        <w:t>12</w:t>
      </w:r>
      <w:r>
        <w:rPr>
          <w:rFonts w:hint="eastAsia" w:ascii="仿宋_GB2312" w:eastAsia="仿宋_GB2312"/>
          <w:sz w:val="28"/>
          <w:szCs w:val="28"/>
        </w:rPr>
        <w:t>%；项目支出</w:t>
      </w:r>
      <w:r>
        <w:rPr>
          <w:rFonts w:ascii="仿宋_GB2312" w:eastAsia="仿宋_GB2312"/>
          <w:sz w:val="28"/>
          <w:szCs w:val="28"/>
        </w:rPr>
        <w:t>37947.08</w:t>
      </w:r>
      <w:r>
        <w:rPr>
          <w:rFonts w:hint="eastAsia" w:ascii="仿宋_GB2312" w:eastAsia="仿宋_GB2312"/>
          <w:sz w:val="28"/>
          <w:szCs w:val="28"/>
        </w:rPr>
        <w:t>万元，占支出合计的</w:t>
      </w:r>
      <w:r>
        <w:rPr>
          <w:rFonts w:hint="eastAsia" w:ascii="仿宋_GB2312" w:eastAsia="仿宋_GB2312"/>
          <w:sz w:val="28"/>
          <w:szCs w:val="28"/>
          <w:lang w:eastAsia="zh-CN"/>
        </w:rPr>
        <w:t>88</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5BD95034">
      <w:pPr>
        <w:pStyle w:val="3"/>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70B0DF64">
      <w:pPr>
        <w:jc w:val="center"/>
        <w:rPr>
          <w:rFonts w:ascii="黑体" w:eastAsia="黑体"/>
          <w:b/>
          <w:sz w:val="28"/>
          <w:szCs w:val="28"/>
        </w:rPr>
      </w:pPr>
      <w:r>
        <w:drawing>
          <wp:inline distT="0" distB="0" distL="114300" distR="114300">
            <wp:extent cx="4572000" cy="2743200"/>
            <wp:effectExtent l="4445" t="4445" r="14605" b="14605"/>
            <wp:docPr id="3"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B2AF7ED">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401165D2">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45366.04</w:t>
      </w:r>
      <w:r>
        <w:rPr>
          <w:rFonts w:hint="eastAsia" w:ascii="仿宋_GB2312" w:eastAsia="仿宋_GB2312"/>
          <w:sz w:val="28"/>
          <w:szCs w:val="28"/>
        </w:rPr>
        <w:t>万元，比上年减少5860.43万元，下降11.44%。主要原因：上年结转结余资金减少（国家体育馆2022冬奥改建项目）、减少国家体育馆冬奥改造停业补助及北京市宣传文化发展专项资金项目。</w:t>
      </w:r>
    </w:p>
    <w:p w14:paraId="4D78C10E">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7E7E246B">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3D18307C">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2023年度一般公共预算财政拨款支出</w:t>
      </w:r>
      <w:r>
        <w:rPr>
          <w:rFonts w:ascii="仿宋_GB2312" w:eastAsia="仿宋_GB2312"/>
          <w:sz w:val="28"/>
          <w:szCs w:val="28"/>
        </w:rPr>
        <w:t>42910.08</w:t>
      </w:r>
      <w:r>
        <w:rPr>
          <w:rFonts w:hint="eastAsia" w:ascii="仿宋_GB2312" w:eastAsia="仿宋_GB2312"/>
          <w:sz w:val="28"/>
          <w:szCs w:val="28"/>
        </w:rPr>
        <w:t>万元，主要用于以下方面（按大类）：文化旅游体育与传媒支出42904.58万元，占本年财政拨款支出99.99%；教育支出5.50万元，占本年财政拨款支出0.01%。</w:t>
      </w:r>
    </w:p>
    <w:p w14:paraId="52C506B0">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1695B3C3">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eastAsia="zh-CN"/>
        </w:rPr>
        <w:t>文化旅游体育与传媒支出</w:t>
      </w:r>
      <w:r>
        <w:rPr>
          <w:rFonts w:hint="eastAsia" w:ascii="仿宋_GB2312" w:eastAsia="仿宋_GB2312"/>
          <w:sz w:val="28"/>
          <w:szCs w:val="28"/>
        </w:rPr>
        <w:t>”（类）202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42904.5</w:t>
      </w:r>
      <w:r>
        <w:rPr>
          <w:rFonts w:ascii="仿宋_GB2312" w:eastAsia="仿宋_GB2312"/>
          <w:sz w:val="28"/>
          <w:szCs w:val="28"/>
        </w:rPr>
        <w:t>8</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w:t>
      </w:r>
      <w:r>
        <w:rPr>
          <w:rFonts w:hint="eastAsia" w:ascii="仿宋_GB2312" w:eastAsia="仿宋_GB2312"/>
          <w:sz w:val="28"/>
          <w:szCs w:val="28"/>
          <w:lang w:val="en-US" w:eastAsia="zh-CN"/>
        </w:rPr>
        <w:t>7092.12</w:t>
      </w:r>
      <w:r>
        <w:rPr>
          <w:rFonts w:hint="eastAsia" w:ascii="仿宋_GB2312" w:eastAsia="仿宋_GB2312"/>
          <w:sz w:val="28"/>
          <w:szCs w:val="28"/>
        </w:rPr>
        <w:t>万元，增长</w:t>
      </w:r>
      <w:r>
        <w:rPr>
          <w:rFonts w:hint="eastAsia" w:ascii="仿宋_GB2312" w:eastAsia="仿宋_GB2312"/>
          <w:sz w:val="28"/>
          <w:szCs w:val="28"/>
          <w:lang w:val="en-US" w:eastAsia="zh-CN"/>
        </w:rPr>
        <w:t>19.80</w:t>
      </w:r>
      <w:r>
        <w:rPr>
          <w:rFonts w:hint="eastAsia" w:ascii="仿宋_GB2312" w:eastAsia="仿宋_GB2312"/>
          <w:sz w:val="28"/>
          <w:szCs w:val="28"/>
        </w:rPr>
        <w:t>%。其中：</w:t>
      </w:r>
    </w:p>
    <w:p w14:paraId="5A5B517B">
      <w:pPr>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w:t>
      </w:r>
      <w:r>
        <w:rPr>
          <w:rFonts w:hint="eastAsia" w:ascii="仿宋_GB2312" w:eastAsia="仿宋_GB2312"/>
          <w:sz w:val="28"/>
          <w:szCs w:val="28"/>
          <w:highlight w:val="none"/>
          <w:lang w:eastAsia="zh-CN"/>
        </w:rPr>
        <w:t>文化和旅游</w:t>
      </w:r>
      <w:r>
        <w:rPr>
          <w:rFonts w:hint="eastAsia" w:ascii="仿宋_GB2312" w:eastAsia="仿宋_GB2312"/>
          <w:sz w:val="28"/>
          <w:szCs w:val="28"/>
          <w:highlight w:val="none"/>
        </w:rPr>
        <w:t>”（款）202</w:t>
      </w: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28308.95</w:t>
      </w:r>
      <w:r>
        <w:rPr>
          <w:rFonts w:hint="eastAsia" w:ascii="仿宋_GB2312" w:eastAsia="仿宋_GB2312"/>
          <w:sz w:val="28"/>
          <w:szCs w:val="28"/>
          <w:highlight w:val="none"/>
        </w:rPr>
        <w:t>万元，比202</w:t>
      </w: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年度年初预算增加</w:t>
      </w:r>
      <w:r>
        <w:rPr>
          <w:rFonts w:hint="eastAsia" w:ascii="仿宋_GB2312" w:eastAsia="仿宋_GB2312"/>
          <w:sz w:val="28"/>
          <w:szCs w:val="28"/>
          <w:highlight w:val="none"/>
          <w:lang w:val="en-US" w:eastAsia="zh-CN"/>
        </w:rPr>
        <w:t>7092.12</w:t>
      </w:r>
      <w:r>
        <w:rPr>
          <w:rFonts w:hint="eastAsia" w:ascii="仿宋_GB2312" w:eastAsia="仿宋_GB2312"/>
          <w:sz w:val="28"/>
          <w:szCs w:val="28"/>
          <w:highlight w:val="none"/>
        </w:rPr>
        <w:t>万元，增长</w:t>
      </w:r>
      <w:r>
        <w:rPr>
          <w:rFonts w:hint="eastAsia" w:ascii="仿宋_GB2312" w:eastAsia="仿宋_GB2312"/>
          <w:sz w:val="28"/>
          <w:szCs w:val="28"/>
          <w:highlight w:val="none"/>
          <w:lang w:val="en-US" w:eastAsia="zh-CN"/>
        </w:rPr>
        <w:t>33.43</w:t>
      </w:r>
      <w:r>
        <w:rPr>
          <w:rFonts w:hint="eastAsia" w:ascii="仿宋_GB2312" w:eastAsia="仿宋_GB2312"/>
          <w:sz w:val="28"/>
          <w:szCs w:val="28"/>
          <w:highlight w:val="none"/>
        </w:rPr>
        <w:t>%。主要原因：</w:t>
      </w:r>
      <w:r>
        <w:rPr>
          <w:rFonts w:hint="eastAsia" w:ascii="仿宋_GB2312" w:eastAsia="仿宋_GB2312"/>
          <w:sz w:val="28"/>
          <w:szCs w:val="28"/>
          <w:highlight w:val="none"/>
          <w:lang w:eastAsia="zh-CN"/>
        </w:rPr>
        <w:t>年初预算为预拨资金，按照全年预算的一定比例下达</w:t>
      </w:r>
      <w:r>
        <w:rPr>
          <w:rFonts w:hint="eastAsia" w:ascii="仿宋_GB2312" w:eastAsia="仿宋_GB2312"/>
          <w:sz w:val="28"/>
          <w:szCs w:val="28"/>
          <w:highlight w:val="none"/>
        </w:rPr>
        <w:t>。</w:t>
      </w:r>
    </w:p>
    <w:p w14:paraId="4B6B2105">
      <w:pPr>
        <w:numPr>
          <w:ilvl w:val="0"/>
          <w:numId w:val="0"/>
        </w:numPr>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w:t>
      </w:r>
      <w:r>
        <w:rPr>
          <w:rFonts w:hint="eastAsia" w:ascii="仿宋_GB2312" w:eastAsia="仿宋_GB2312"/>
          <w:sz w:val="28"/>
          <w:szCs w:val="28"/>
          <w:highlight w:val="none"/>
          <w:lang w:eastAsia="zh-CN"/>
        </w:rPr>
        <w:t>其他文化旅游体育与传媒支出</w:t>
      </w:r>
      <w:r>
        <w:rPr>
          <w:rFonts w:hint="eastAsia" w:ascii="仿宋_GB2312" w:eastAsia="仿宋_GB2312"/>
          <w:sz w:val="28"/>
          <w:szCs w:val="28"/>
          <w:highlight w:val="none"/>
        </w:rPr>
        <w:t>”（款）202</w:t>
      </w: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14595.63</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与</w:t>
      </w: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年度年初预算</w:t>
      </w:r>
      <w:r>
        <w:rPr>
          <w:rFonts w:hint="eastAsia" w:ascii="仿宋_GB2312" w:eastAsia="仿宋_GB2312"/>
          <w:sz w:val="28"/>
          <w:szCs w:val="28"/>
          <w:highlight w:val="none"/>
          <w:lang w:eastAsia="zh-CN"/>
        </w:rPr>
        <w:t>持平</w:t>
      </w:r>
      <w:r>
        <w:rPr>
          <w:rFonts w:hint="eastAsia" w:ascii="仿宋_GB2312" w:eastAsia="仿宋_GB2312"/>
          <w:sz w:val="28"/>
          <w:szCs w:val="28"/>
          <w:highlight w:val="none"/>
        </w:rPr>
        <w:t>。</w:t>
      </w:r>
    </w:p>
    <w:p w14:paraId="381E4842">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、“教育支出”（类）2023年度决算5.50万元，比2023年度年初预算减少1.07万元，下降16.29%。其中：</w:t>
      </w:r>
    </w:p>
    <w:p w14:paraId="4AE8DDD1">
      <w:pPr>
        <w:spacing w:line="580" w:lineRule="exact"/>
        <w:ind w:firstLine="560" w:firstLineChars="200"/>
        <w:rPr>
          <w:rFonts w:ascii="仿宋_GB2312" w:eastAsia="仿宋_GB2312"/>
          <w:sz w:val="28"/>
          <w:szCs w:val="28"/>
        </w:rPr>
      </w:pPr>
      <w:r>
        <w:rPr>
          <w:rFonts w:hint="eastAsia" w:ascii="仿宋_GB2312" w:eastAsia="仿宋_GB2312"/>
          <w:sz w:val="28"/>
          <w:szCs w:val="28"/>
        </w:rPr>
        <w:t>“进修及培训”（款）2023年度决算5.50万元，比2023年度年初预算减少1.07万元，下降16.29%。主要原因：学校教职工培训方式优先选择线上培训，</w:t>
      </w:r>
      <w:r>
        <w:rPr>
          <w:rFonts w:ascii="仿宋_GB2312" w:eastAsia="仿宋_GB2312"/>
          <w:sz w:val="28"/>
          <w:szCs w:val="28"/>
        </w:rPr>
        <w:t>合理安排预算，节约财政资金的使用</w:t>
      </w:r>
      <w:r>
        <w:rPr>
          <w:rFonts w:hint="eastAsia" w:ascii="仿宋_GB2312" w:eastAsia="仿宋_GB2312"/>
          <w:sz w:val="28"/>
          <w:szCs w:val="28"/>
        </w:rPr>
        <w:t>。</w:t>
      </w:r>
    </w:p>
    <w:p w14:paraId="0DD6603B">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7782FD99">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本部门无此项支出。</w:t>
      </w:r>
    </w:p>
    <w:p w14:paraId="345F308B">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13D1EAA8">
      <w:pPr>
        <w:spacing w:line="580" w:lineRule="exact"/>
        <w:ind w:firstLine="548" w:firstLineChars="196"/>
        <w:rPr>
          <w:rFonts w:hint="eastAsia" w:ascii="仿宋_GB2312" w:eastAsia="仿宋_GB2312"/>
          <w:sz w:val="28"/>
          <w:szCs w:val="28"/>
        </w:rPr>
      </w:pPr>
      <w:r>
        <w:rPr>
          <w:rFonts w:hint="eastAsia" w:ascii="仿宋_GB2312" w:eastAsia="仿宋_GB2312"/>
          <w:sz w:val="28"/>
          <w:szCs w:val="28"/>
        </w:rPr>
        <w:t>本部门无此项经费。</w:t>
      </w:r>
    </w:p>
    <w:p w14:paraId="3681107B">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6DDDF776">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2023年度使用一般公共预算财政拨款安排基本支出</w:t>
      </w:r>
      <w:r>
        <w:rPr>
          <w:rFonts w:ascii="仿宋_GB2312" w:eastAsia="仿宋_GB2312"/>
          <w:sz w:val="28"/>
          <w:szCs w:val="28"/>
        </w:rPr>
        <w:t>5134.27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63D07D88">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2023年度</w:t>
      </w:r>
      <w:r>
        <w:rPr>
          <w:rFonts w:hint="eastAsia" w:ascii="宋体" w:hAnsi="宋体" w:cs="宋体"/>
          <w:b/>
          <w:spacing w:val="40"/>
          <w:kern w:val="0"/>
          <w:sz w:val="32"/>
          <w:szCs w:val="32"/>
        </w:rPr>
        <w:t>其他重要事项的情况说明</w:t>
      </w:r>
    </w:p>
    <w:p w14:paraId="418256C4">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07A172AC">
      <w:pPr>
        <w:spacing w:line="560" w:lineRule="exact"/>
        <w:ind w:firstLine="600"/>
        <w:rPr>
          <w:rFonts w:ascii="仿宋_GB2312" w:eastAsia="仿宋_GB2312"/>
          <w:sz w:val="28"/>
          <w:szCs w:val="28"/>
        </w:rPr>
      </w:pPr>
      <w:r>
        <w:rPr>
          <w:rFonts w:hint="eastAsia" w:ascii="仿宋_GB2312" w:eastAsia="仿宋_GB2312"/>
          <w:sz w:val="28"/>
          <w:szCs w:val="28"/>
        </w:rPr>
        <w:t>“三公”经费包括本部门所属</w:t>
      </w:r>
      <w:r>
        <w:rPr>
          <w:rFonts w:hint="eastAsia" w:ascii="仿宋_GB2312" w:eastAsia="仿宋_GB2312"/>
          <w:bCs/>
          <w:sz w:val="28"/>
          <w:szCs w:val="28"/>
          <w:lang w:val="en-US" w:eastAsia="zh-CN"/>
        </w:rPr>
        <w:t>1</w:t>
      </w:r>
      <w:r>
        <w:rPr>
          <w:rFonts w:hint="eastAsia" w:ascii="仿宋_GB2312" w:eastAsia="仿宋_GB2312"/>
          <w:sz w:val="28"/>
          <w:szCs w:val="28"/>
        </w:rPr>
        <w:t>个事业单位。2023年度“三公”经费财政拨款决算数</w:t>
      </w:r>
      <w:r>
        <w:rPr>
          <w:rFonts w:ascii="仿宋_GB2312" w:eastAsia="仿宋_GB2312"/>
          <w:sz w:val="28"/>
          <w:szCs w:val="28"/>
        </w:rPr>
        <w:t>0.78</w:t>
      </w:r>
      <w:r>
        <w:rPr>
          <w:rFonts w:hint="eastAsia" w:ascii="仿宋_GB2312" w:eastAsia="仿宋_GB2312"/>
          <w:sz w:val="28"/>
          <w:szCs w:val="28"/>
        </w:rPr>
        <w:t>万元，比2023年度“三公”经费财政拨款年初预算</w:t>
      </w:r>
      <w:r>
        <w:rPr>
          <w:rFonts w:ascii="仿宋_GB2312" w:eastAsia="仿宋_GB2312"/>
          <w:sz w:val="28"/>
          <w:szCs w:val="28"/>
        </w:rPr>
        <w:t>3.7</w:t>
      </w:r>
      <w:r>
        <w:rPr>
          <w:rFonts w:hint="eastAsia" w:ascii="仿宋_GB2312" w:eastAsia="仿宋_GB2312"/>
          <w:sz w:val="28"/>
          <w:szCs w:val="28"/>
        </w:rPr>
        <w:t>万元减少</w:t>
      </w:r>
      <w:r>
        <w:rPr>
          <w:rFonts w:ascii="仿宋_GB2312" w:eastAsia="仿宋_GB2312"/>
          <w:sz w:val="28"/>
          <w:szCs w:val="28"/>
        </w:rPr>
        <w:t>2.92</w:t>
      </w:r>
      <w:r>
        <w:rPr>
          <w:rFonts w:hint="eastAsia" w:ascii="仿宋_GB2312" w:eastAsia="仿宋_GB2312"/>
          <w:sz w:val="28"/>
          <w:szCs w:val="28"/>
        </w:rPr>
        <w:t>万元。其中：</w:t>
      </w:r>
    </w:p>
    <w:p w14:paraId="51979AE6">
      <w:pPr>
        <w:spacing w:line="560" w:lineRule="exact"/>
        <w:ind w:firstLine="600"/>
        <w:rPr>
          <w:rFonts w:ascii="仿宋_GB2312" w:eastAsia="仿宋_GB2312"/>
          <w:sz w:val="28"/>
          <w:szCs w:val="28"/>
        </w:rPr>
      </w:pPr>
      <w:r>
        <w:rPr>
          <w:rFonts w:hint="eastAsia" w:ascii="仿宋_GB2312" w:eastAsia="仿宋_GB2312"/>
          <w:sz w:val="28"/>
          <w:szCs w:val="28"/>
        </w:rPr>
        <w:t>1.因公出国（境）费用。2023年度决算数</w:t>
      </w:r>
      <w:r>
        <w:rPr>
          <w:rFonts w:ascii="仿宋_GB2312" w:eastAsia="仿宋_GB2312"/>
          <w:sz w:val="28"/>
          <w:szCs w:val="28"/>
        </w:rPr>
        <w:t>0</w:t>
      </w:r>
      <w:r>
        <w:rPr>
          <w:rFonts w:hint="eastAsia" w:ascii="仿宋_GB2312" w:eastAsia="仿宋_GB2312"/>
          <w:sz w:val="28"/>
          <w:szCs w:val="28"/>
        </w:rPr>
        <w:t>万元，与2023年度年初预算数持平。主要原因：本部门无此项经费。</w:t>
      </w:r>
    </w:p>
    <w:p w14:paraId="500FB2E3">
      <w:pPr>
        <w:spacing w:line="560" w:lineRule="exact"/>
        <w:ind w:firstLine="600"/>
        <w:rPr>
          <w:rFonts w:ascii="仿宋_GB2312" w:eastAsia="仿宋_GB2312"/>
          <w:sz w:val="28"/>
          <w:szCs w:val="28"/>
        </w:rPr>
      </w:pPr>
      <w:r>
        <w:rPr>
          <w:rFonts w:hint="eastAsia" w:ascii="仿宋_GB2312" w:eastAsia="仿宋_GB2312"/>
          <w:sz w:val="28"/>
          <w:szCs w:val="28"/>
        </w:rPr>
        <w:t>2.公务接待费。2023年度决算数</w:t>
      </w:r>
      <w:r>
        <w:rPr>
          <w:rFonts w:ascii="仿宋_GB2312" w:eastAsia="仿宋_GB2312"/>
          <w:sz w:val="28"/>
          <w:szCs w:val="28"/>
        </w:rPr>
        <w:t>0</w:t>
      </w:r>
      <w:r>
        <w:rPr>
          <w:rFonts w:hint="eastAsia" w:ascii="仿宋_GB2312" w:eastAsia="仿宋_GB2312"/>
          <w:sz w:val="28"/>
          <w:szCs w:val="28"/>
        </w:rPr>
        <w:t>万元，与2023年度年初预算数持平。主要原因：本部门无此项经费。</w:t>
      </w:r>
    </w:p>
    <w:p w14:paraId="09D0D9CD">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3.公务用车购置及运行维护费。2023年度决算数</w:t>
      </w:r>
      <w:r>
        <w:rPr>
          <w:rFonts w:ascii="仿宋_GB2312" w:eastAsia="仿宋_GB2312"/>
          <w:sz w:val="28"/>
          <w:szCs w:val="28"/>
        </w:rPr>
        <w:t>0</w:t>
      </w:r>
      <w:r>
        <w:rPr>
          <w:rFonts w:hint="eastAsia" w:ascii="仿宋_GB2312" w:eastAsia="仿宋_GB2312"/>
          <w:sz w:val="28"/>
          <w:szCs w:val="28"/>
          <w:lang w:val="en-US" w:eastAsia="zh-CN"/>
        </w:rPr>
        <w:t>.78</w:t>
      </w:r>
      <w:r>
        <w:rPr>
          <w:rFonts w:hint="eastAsia" w:ascii="仿宋_GB2312" w:eastAsia="仿宋_GB2312"/>
          <w:sz w:val="28"/>
          <w:szCs w:val="28"/>
        </w:rPr>
        <w:t>万元，比2023年度年初预算数3.70万元减少2.92万元。</w:t>
      </w:r>
    </w:p>
    <w:p w14:paraId="0B52FC03">
      <w:pPr>
        <w:spacing w:line="560" w:lineRule="exact"/>
        <w:ind w:firstLine="560" w:firstLineChars="200"/>
        <w:rPr>
          <w:rFonts w:ascii="仿宋_GB2312" w:eastAsia="仿宋_GB2312"/>
          <w:sz w:val="28"/>
          <w:szCs w:val="28"/>
        </w:rPr>
      </w:pPr>
      <w:r>
        <w:rPr>
          <w:rFonts w:hint="eastAsia" w:ascii="仿宋_GB2312" w:eastAsia="仿宋_GB2312"/>
          <w:sz w:val="28"/>
          <w:szCs w:val="28"/>
        </w:rPr>
        <w:t>其中，公务用车购置费2023年度决算数</w:t>
      </w:r>
      <w:r>
        <w:rPr>
          <w:rFonts w:ascii="仿宋_GB2312" w:eastAsia="仿宋_GB2312"/>
          <w:sz w:val="28"/>
          <w:szCs w:val="28"/>
        </w:rPr>
        <w:t>0</w:t>
      </w:r>
      <w:r>
        <w:rPr>
          <w:rFonts w:hint="eastAsia" w:ascii="仿宋_GB2312" w:eastAsia="仿宋_GB2312"/>
          <w:sz w:val="28"/>
          <w:szCs w:val="28"/>
        </w:rPr>
        <w:t>万元，比2023年度年初预算数</w:t>
      </w:r>
      <w:r>
        <w:rPr>
          <w:rFonts w:hint="eastAsia" w:ascii="仿宋_GB2312" w:eastAsia="仿宋_GB2312"/>
          <w:sz w:val="28"/>
          <w:szCs w:val="28"/>
          <w:lang w:eastAsia="zh-CN"/>
        </w:rPr>
        <w:t>持平</w:t>
      </w:r>
      <w:r>
        <w:rPr>
          <w:rFonts w:hint="eastAsia" w:ascii="仿宋_GB2312" w:eastAsia="仿宋_GB2312"/>
          <w:sz w:val="28"/>
          <w:szCs w:val="28"/>
        </w:rPr>
        <w:t>。主要原因：本部门无此项经费。公务用车运行维护费2023年度决算数</w:t>
      </w:r>
      <w:r>
        <w:rPr>
          <w:rFonts w:ascii="仿宋_GB2312" w:eastAsia="仿宋_GB2312"/>
          <w:sz w:val="28"/>
          <w:szCs w:val="28"/>
        </w:rPr>
        <w:t>0.78</w:t>
      </w:r>
      <w:r>
        <w:rPr>
          <w:rFonts w:hint="eastAsia" w:ascii="仿宋_GB2312" w:eastAsia="仿宋_GB2312"/>
          <w:sz w:val="28"/>
          <w:szCs w:val="28"/>
        </w:rPr>
        <w:t>万元，比2023年度年初预算数</w:t>
      </w:r>
      <w:r>
        <w:rPr>
          <w:rFonts w:ascii="仿宋_GB2312" w:eastAsia="仿宋_GB2312"/>
          <w:sz w:val="28"/>
          <w:szCs w:val="28"/>
        </w:rPr>
        <w:t>3.7</w:t>
      </w:r>
      <w:r>
        <w:rPr>
          <w:rFonts w:hint="eastAsia" w:ascii="仿宋_GB2312" w:eastAsia="仿宋_GB2312"/>
          <w:sz w:val="28"/>
          <w:szCs w:val="28"/>
        </w:rPr>
        <w:t>万元减少</w:t>
      </w:r>
      <w:r>
        <w:rPr>
          <w:rFonts w:hint="eastAsia" w:ascii="仿宋_GB2312" w:eastAsia="仿宋_GB2312"/>
          <w:sz w:val="28"/>
          <w:szCs w:val="28"/>
          <w:lang w:val="en-US" w:eastAsia="zh-CN"/>
        </w:rPr>
        <w:t>2.92</w:t>
      </w:r>
      <w:r>
        <w:rPr>
          <w:rFonts w:hint="eastAsia" w:ascii="仿宋_GB2312" w:eastAsia="仿宋_GB2312"/>
          <w:sz w:val="28"/>
          <w:szCs w:val="28"/>
        </w:rPr>
        <w:t>万元，主要原因：公务用车上路行驶受限，公务用车运行维护费支出大幅降低。2023年度公务用车运行维护费中，公务用车加油</w:t>
      </w:r>
      <w:r>
        <w:rPr>
          <w:rFonts w:ascii="仿宋_GB2312" w:eastAsia="仿宋_GB2312"/>
          <w:sz w:val="28"/>
          <w:szCs w:val="28"/>
        </w:rPr>
        <w:t>0</w:t>
      </w:r>
      <w:r>
        <w:rPr>
          <w:rFonts w:hint="eastAsia" w:ascii="仿宋_GB2312" w:eastAsia="仿宋_GB2312"/>
          <w:sz w:val="28"/>
          <w:szCs w:val="28"/>
        </w:rPr>
        <w:t>万元，公务用车维修</w:t>
      </w:r>
      <w:r>
        <w:rPr>
          <w:rFonts w:ascii="仿宋_GB2312" w:eastAsia="仿宋_GB2312"/>
          <w:sz w:val="28"/>
          <w:szCs w:val="28"/>
        </w:rPr>
        <w:t>0.6</w:t>
      </w:r>
      <w:r>
        <w:rPr>
          <w:rFonts w:hint="eastAsia" w:ascii="仿宋_GB2312" w:eastAsia="仿宋_GB2312"/>
          <w:sz w:val="28"/>
          <w:szCs w:val="28"/>
        </w:rPr>
        <w:t>万元，公务用车保险</w:t>
      </w:r>
      <w:r>
        <w:rPr>
          <w:rFonts w:ascii="仿宋_GB2312" w:eastAsia="仿宋_GB2312"/>
          <w:sz w:val="28"/>
          <w:szCs w:val="28"/>
        </w:rPr>
        <w:t>0.11</w:t>
      </w:r>
      <w:r>
        <w:rPr>
          <w:rFonts w:hint="eastAsia" w:ascii="仿宋_GB2312" w:eastAsia="仿宋_GB2312"/>
          <w:sz w:val="28"/>
          <w:szCs w:val="28"/>
        </w:rPr>
        <w:t>万元，公务用车其他支出</w:t>
      </w:r>
      <w:r>
        <w:rPr>
          <w:rFonts w:ascii="仿宋_GB2312" w:eastAsia="仿宋_GB2312"/>
          <w:sz w:val="28"/>
          <w:szCs w:val="28"/>
        </w:rPr>
        <w:t>0.0</w:t>
      </w:r>
      <w:r>
        <w:rPr>
          <w:rFonts w:hint="eastAsia" w:ascii="仿宋_GB2312" w:eastAsia="仿宋_GB2312"/>
          <w:sz w:val="28"/>
          <w:szCs w:val="28"/>
          <w:lang w:val="en-US" w:eastAsia="zh-CN"/>
        </w:rPr>
        <w:t>7</w:t>
      </w:r>
      <w:r>
        <w:rPr>
          <w:rFonts w:hint="eastAsia" w:ascii="仿宋_GB2312" w:eastAsia="仿宋_GB2312"/>
          <w:sz w:val="28"/>
          <w:szCs w:val="28"/>
        </w:rPr>
        <w:t>万元。2023年度公务用车保有量</w:t>
      </w:r>
      <w:r>
        <w:rPr>
          <w:rFonts w:hint="eastAsia" w:ascii="仿宋_GB2312" w:eastAsia="仿宋_GB2312"/>
          <w:sz w:val="28"/>
          <w:szCs w:val="28"/>
          <w:lang w:val="en-US" w:eastAsia="zh-CN"/>
        </w:rPr>
        <w:t>15</w:t>
      </w:r>
      <w:r>
        <w:rPr>
          <w:rFonts w:hint="eastAsia" w:ascii="仿宋_GB2312" w:eastAsia="仿宋_GB2312"/>
          <w:sz w:val="28"/>
          <w:szCs w:val="28"/>
        </w:rPr>
        <w:t>辆，车均运行维护费</w:t>
      </w:r>
      <w:r>
        <w:rPr>
          <w:rFonts w:hint="eastAsia" w:ascii="仿宋_GB2312" w:eastAsia="仿宋_GB2312"/>
          <w:sz w:val="28"/>
          <w:szCs w:val="28"/>
          <w:lang w:val="en-US" w:eastAsia="zh-CN"/>
        </w:rPr>
        <w:t>0.05</w:t>
      </w:r>
      <w:r>
        <w:rPr>
          <w:rFonts w:hint="eastAsia" w:ascii="仿宋_GB2312" w:eastAsia="仿宋_GB2312"/>
          <w:sz w:val="28"/>
          <w:szCs w:val="28"/>
        </w:rPr>
        <w:t>万元。</w:t>
      </w:r>
    </w:p>
    <w:p w14:paraId="15713EFE">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5113CA66">
      <w:pPr>
        <w:ind w:firstLine="537" w:firstLineChars="192"/>
        <w:rPr>
          <w:rFonts w:ascii="仿宋_GB2312" w:eastAsia="仿宋_GB2312"/>
          <w:sz w:val="28"/>
          <w:szCs w:val="28"/>
        </w:rPr>
      </w:pPr>
      <w:r>
        <w:rPr>
          <w:rFonts w:hint="eastAsia" w:ascii="仿宋_GB2312" w:eastAsia="仿宋_GB2312"/>
          <w:sz w:val="28"/>
          <w:szCs w:val="28"/>
        </w:rPr>
        <w:t>本部门不在机关运行经费统计范围之内。</w:t>
      </w:r>
    </w:p>
    <w:p w14:paraId="34EB9164">
      <w:pPr>
        <w:ind w:left="540"/>
        <w:rPr>
          <w:rFonts w:ascii="黑体" w:eastAsia="黑体"/>
          <w:sz w:val="28"/>
          <w:szCs w:val="28"/>
        </w:rPr>
      </w:pPr>
      <w:r>
        <w:rPr>
          <w:rFonts w:hint="eastAsia" w:ascii="黑体" w:eastAsia="黑体"/>
          <w:sz w:val="28"/>
          <w:szCs w:val="28"/>
        </w:rPr>
        <w:t>三、政府采购支出情况</w:t>
      </w:r>
    </w:p>
    <w:p w14:paraId="51971A73">
      <w:pPr>
        <w:ind w:firstLine="537" w:firstLineChars="192"/>
        <w:rPr>
          <w:rFonts w:ascii="仿宋_GB2312" w:eastAsia="仿宋_GB2312"/>
          <w:sz w:val="28"/>
          <w:szCs w:val="28"/>
        </w:rPr>
      </w:pPr>
      <w:r>
        <w:rPr>
          <w:rFonts w:hint="eastAsia" w:ascii="仿宋_GB2312" w:eastAsia="仿宋_GB2312"/>
          <w:sz w:val="28"/>
          <w:szCs w:val="28"/>
        </w:rPr>
        <w:t>2023年度政府采购支出总额</w:t>
      </w:r>
      <w:r>
        <w:rPr>
          <w:rFonts w:ascii="仿宋_GB2312" w:eastAsia="仿宋_GB2312"/>
          <w:sz w:val="28"/>
          <w:szCs w:val="28"/>
        </w:rPr>
        <w:t>309.86</w:t>
      </w:r>
      <w:r>
        <w:rPr>
          <w:rFonts w:hint="eastAsia" w:ascii="仿宋_GB2312" w:eastAsia="仿宋_GB2312"/>
          <w:sz w:val="28"/>
          <w:szCs w:val="28"/>
        </w:rPr>
        <w:t>万元，其中：政府采购货物支出</w:t>
      </w:r>
      <w:r>
        <w:rPr>
          <w:rFonts w:ascii="仿宋_GB2312" w:eastAsia="仿宋_GB2312"/>
          <w:sz w:val="28"/>
          <w:szCs w:val="28"/>
          <w:highlight w:val="none"/>
        </w:rPr>
        <w:t>4.3</w:t>
      </w:r>
      <w:r>
        <w:rPr>
          <w:rFonts w:hint="eastAsia" w:ascii="仿宋_GB2312" w:eastAsia="仿宋_GB2312"/>
          <w:sz w:val="28"/>
          <w:szCs w:val="28"/>
          <w:highlight w:val="none"/>
          <w:lang w:val="en-US" w:eastAsia="zh-CN"/>
        </w:rPr>
        <w:t>6</w:t>
      </w:r>
      <w:r>
        <w:rPr>
          <w:rFonts w:hint="eastAsia" w:ascii="仿宋_GB2312" w:eastAsia="仿宋_GB2312"/>
          <w:sz w:val="28"/>
          <w:szCs w:val="28"/>
          <w:highlight w:val="none"/>
        </w:rPr>
        <w:t>万</w:t>
      </w:r>
      <w:r>
        <w:rPr>
          <w:rFonts w:hint="eastAsia" w:ascii="仿宋_GB2312" w:eastAsia="仿宋_GB2312"/>
          <w:sz w:val="28"/>
          <w:szCs w:val="28"/>
        </w:rPr>
        <w:t>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305.5</w:t>
      </w:r>
      <w:r>
        <w:rPr>
          <w:rFonts w:hint="eastAsia" w:ascii="仿宋_GB2312" w:eastAsia="仿宋_GB2312"/>
          <w:sz w:val="28"/>
          <w:szCs w:val="28"/>
        </w:rPr>
        <w:t>万元。授予中小企业合同金额</w:t>
      </w:r>
      <w:r>
        <w:rPr>
          <w:rFonts w:ascii="仿宋_GB2312" w:eastAsia="仿宋_GB2312"/>
          <w:sz w:val="28"/>
          <w:szCs w:val="28"/>
        </w:rPr>
        <w:t>309.75</w:t>
      </w:r>
      <w:r>
        <w:rPr>
          <w:rFonts w:hint="eastAsia" w:ascii="仿宋_GB2312" w:eastAsia="仿宋_GB2312"/>
          <w:sz w:val="28"/>
          <w:szCs w:val="28"/>
        </w:rPr>
        <w:t>万元，占政府采购支出总额的</w:t>
      </w:r>
      <w:r>
        <w:rPr>
          <w:rFonts w:hint="eastAsia" w:ascii="仿宋_GB2312" w:eastAsia="仿宋_GB2312"/>
          <w:sz w:val="28"/>
          <w:szCs w:val="28"/>
          <w:lang w:eastAsia="zh-CN"/>
        </w:rPr>
        <w:t>100</w:t>
      </w:r>
      <w:r>
        <w:rPr>
          <w:rFonts w:hint="eastAsia" w:ascii="仿宋_GB2312" w:eastAsia="仿宋_GB2312"/>
          <w:sz w:val="28"/>
          <w:szCs w:val="28"/>
        </w:rPr>
        <w:t>%，其中：授予小微企业合同金额</w:t>
      </w:r>
      <w:r>
        <w:rPr>
          <w:rFonts w:ascii="仿宋_GB2312" w:eastAsia="仿宋_GB2312"/>
          <w:sz w:val="28"/>
          <w:szCs w:val="28"/>
        </w:rPr>
        <w:t>288.75</w:t>
      </w:r>
      <w:r>
        <w:rPr>
          <w:rFonts w:hint="eastAsia" w:ascii="仿宋_GB2312" w:eastAsia="仿宋_GB2312"/>
          <w:sz w:val="28"/>
          <w:szCs w:val="28"/>
        </w:rPr>
        <w:t>万元，占政府采购支出总额的</w:t>
      </w:r>
      <w:r>
        <w:rPr>
          <w:rFonts w:hint="eastAsia" w:ascii="仿宋_GB2312" w:eastAsia="仿宋_GB2312"/>
          <w:sz w:val="28"/>
          <w:szCs w:val="28"/>
          <w:lang w:eastAsia="zh-CN"/>
        </w:rPr>
        <w:t>93</w:t>
      </w:r>
      <w:r>
        <w:rPr>
          <w:rFonts w:hint="eastAsia" w:ascii="仿宋_GB2312" w:eastAsia="仿宋_GB2312"/>
          <w:sz w:val="28"/>
          <w:szCs w:val="28"/>
        </w:rPr>
        <w:t>%。</w:t>
      </w:r>
    </w:p>
    <w:p w14:paraId="0A8E5744">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79D9419B">
      <w:pPr>
        <w:ind w:firstLine="560" w:firstLineChars="200"/>
        <w:rPr>
          <w:rFonts w:ascii="仿宋_GB2312" w:eastAsia="仿宋_GB2312"/>
          <w:sz w:val="32"/>
          <w:szCs w:val="32"/>
        </w:rPr>
      </w:pPr>
      <w:r>
        <w:rPr>
          <w:rFonts w:hint="eastAsia" w:ascii="仿宋_GB2312" w:eastAsia="仿宋_GB2312"/>
          <w:sz w:val="28"/>
          <w:szCs w:val="28"/>
        </w:rPr>
        <w:t>2023年度新购置车辆</w:t>
      </w:r>
      <w:r>
        <w:rPr>
          <w:rFonts w:hint="eastAsia" w:ascii="仿宋_GB2312" w:eastAsia="仿宋_GB2312"/>
          <w:sz w:val="28"/>
          <w:szCs w:val="28"/>
          <w:lang w:val="en-US" w:eastAsia="zh-CN"/>
        </w:rPr>
        <w:t>0</w:t>
      </w:r>
      <w:r>
        <w:rPr>
          <w:rFonts w:hint="eastAsia" w:ascii="仿宋_GB2312" w:eastAsia="仿宋_GB2312"/>
          <w:sz w:val="28"/>
          <w:szCs w:val="28"/>
        </w:rPr>
        <w:t>台，共计</w:t>
      </w:r>
      <w:r>
        <w:rPr>
          <w:rFonts w:hint="eastAsia" w:ascii="仿宋_GB2312" w:eastAsia="仿宋_GB2312"/>
          <w:sz w:val="28"/>
          <w:szCs w:val="28"/>
          <w:lang w:val="en-US" w:eastAsia="zh-CN"/>
        </w:rPr>
        <w:t>0</w:t>
      </w:r>
      <w:r>
        <w:rPr>
          <w:rFonts w:hint="eastAsia" w:ascii="仿宋_GB2312" w:eastAsia="仿宋_GB2312"/>
          <w:sz w:val="28"/>
          <w:szCs w:val="28"/>
        </w:rPr>
        <w:t>万元；新购置单位价值100万元（含）以上的设备</w:t>
      </w:r>
      <w:r>
        <w:rPr>
          <w:rFonts w:hint="eastAsia" w:ascii="仿宋_GB2312" w:eastAsia="仿宋_GB2312"/>
          <w:sz w:val="28"/>
          <w:szCs w:val="28"/>
          <w:lang w:val="en-US" w:eastAsia="zh-CN"/>
        </w:rPr>
        <w:t>0</w:t>
      </w:r>
      <w:r>
        <w:rPr>
          <w:rFonts w:hint="eastAsia" w:ascii="仿宋_GB2312" w:eastAsia="仿宋_GB2312"/>
          <w:sz w:val="28"/>
          <w:szCs w:val="28"/>
        </w:rPr>
        <w:t>台（套），共计</w:t>
      </w:r>
      <w:r>
        <w:rPr>
          <w:rFonts w:hint="eastAsia" w:ascii="仿宋_GB2312" w:eastAsia="仿宋_GB2312"/>
          <w:sz w:val="28"/>
          <w:szCs w:val="28"/>
          <w:lang w:val="en-US" w:eastAsia="zh-CN"/>
        </w:rPr>
        <w:t>0</w:t>
      </w:r>
      <w:r>
        <w:rPr>
          <w:rFonts w:hint="eastAsia" w:ascii="仿宋_GB2312" w:eastAsia="仿宋_GB2312"/>
          <w:sz w:val="28"/>
          <w:szCs w:val="28"/>
        </w:rPr>
        <w:t>万元。截至12月31日，本部门所属1个事业单位共有车辆15台，共计454.53万元；单位价值100万元（含）以上的设备7台（套），共计1217.09万元。</w:t>
      </w:r>
    </w:p>
    <w:p w14:paraId="50D291E1">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7767FBBF">
      <w:pPr>
        <w:ind w:firstLine="560" w:firstLineChars="200"/>
        <w:jc w:val="left"/>
        <w:rPr>
          <w:rFonts w:hint="eastAsia" w:ascii="仿宋_GB2312" w:eastAsia="仿宋_GB2312"/>
          <w:sz w:val="28"/>
          <w:szCs w:val="28"/>
        </w:rPr>
      </w:pPr>
      <w:r>
        <w:rPr>
          <w:rFonts w:hint="eastAsia" w:ascii="仿宋_GB2312" w:eastAsia="仿宋_GB2312"/>
          <w:sz w:val="28"/>
          <w:szCs w:val="28"/>
        </w:rPr>
        <w:t>本部门无此项支出。</w:t>
      </w:r>
    </w:p>
    <w:p w14:paraId="68A69C51">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572FCAA8">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6B21873B">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50182C5D">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439B07CA">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2FDA8496">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0F3B41A6">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51417E83">
      <w:pPr>
        <w:ind w:firstLine="420" w:firstLineChars="150"/>
        <w:rPr>
          <w:rFonts w:hint="eastAsia" w:ascii="仿宋_GB2312" w:eastAsia="仿宋_GB2312"/>
          <w:sz w:val="28"/>
          <w:szCs w:val="28"/>
        </w:rPr>
      </w:pPr>
      <w:r>
        <w:rPr>
          <w:rFonts w:hint="eastAsia" w:ascii="仿宋_GB2312" w:eastAsia="仿宋_GB2312"/>
          <w:sz w:val="28"/>
          <w:szCs w:val="28"/>
        </w:rPr>
        <w:t>7.教育支出（类）进修及培训（款）培训支出（项）：反映单位安排的用于培训方面的支出。</w:t>
      </w:r>
    </w:p>
    <w:p w14:paraId="6205ED90">
      <w:pPr>
        <w:ind w:firstLine="420" w:firstLineChars="150"/>
        <w:rPr>
          <w:rFonts w:hint="eastAsia" w:ascii="仿宋_GB2312" w:eastAsia="仿宋_GB2312"/>
          <w:sz w:val="28"/>
          <w:szCs w:val="28"/>
        </w:rPr>
      </w:pPr>
      <w:r>
        <w:rPr>
          <w:rFonts w:hint="eastAsia" w:ascii="仿宋_GB2312" w:eastAsia="仿宋_GB2312"/>
          <w:sz w:val="28"/>
          <w:szCs w:val="28"/>
        </w:rPr>
        <w:t>8.文化旅游体育与传媒支出（类）文化和旅游（款）其他文化和旅游支出（项）：反映用于公共文化设施、对外文化交流、文化艺术教育及旅游业管理与服务等方面的支出。</w:t>
      </w:r>
    </w:p>
    <w:p w14:paraId="1C90FEAE">
      <w:pPr>
        <w:ind w:firstLine="420" w:firstLineChars="150"/>
        <w:rPr>
          <w:rFonts w:hint="eastAsia" w:ascii="仿宋_GB2312" w:eastAsia="仿宋_GB2312"/>
          <w:sz w:val="28"/>
          <w:szCs w:val="28"/>
        </w:rPr>
      </w:pPr>
      <w:r>
        <w:rPr>
          <w:rFonts w:hint="eastAsia" w:ascii="仿宋_GB2312" w:eastAsia="仿宋_GB2312"/>
          <w:sz w:val="28"/>
          <w:szCs w:val="28"/>
        </w:rPr>
        <w:t>9.文化旅游体育与传媒支出（类）文化和旅游（款）艺术表演团体（项）：反映用于艺术表演团体、文化艺术活动等方面的支出。</w:t>
      </w:r>
    </w:p>
    <w:p w14:paraId="16ADBD76">
      <w:pPr>
        <w:ind w:firstLine="420" w:firstLineChars="150"/>
        <w:rPr>
          <w:rFonts w:ascii="仿宋_GB2312" w:eastAsia="仿宋_GB2312"/>
          <w:sz w:val="28"/>
          <w:szCs w:val="28"/>
        </w:rPr>
      </w:pPr>
      <w:r>
        <w:rPr>
          <w:rFonts w:hint="eastAsia" w:ascii="仿宋_GB2312" w:eastAsia="仿宋_GB2312"/>
          <w:sz w:val="28"/>
          <w:szCs w:val="28"/>
        </w:rPr>
        <w:t>10.文化旅游体育与传媒支出（类）其他文化旅游体育与传媒支出（款）其他文化旅游体育与传媒支出（项）：反映其他用于文化旅游体育与传媒方面的支出。</w:t>
      </w:r>
    </w:p>
    <w:p w14:paraId="78B2FC1C">
      <w:pPr>
        <w:rPr>
          <w:rFonts w:ascii="仿宋_GB2312" w:eastAsia="仿宋_GB2312"/>
          <w:sz w:val="28"/>
          <w:szCs w:val="28"/>
        </w:rPr>
      </w:pPr>
    </w:p>
    <w:p w14:paraId="09DF7D8E">
      <w:pPr>
        <w:ind w:firstLine="632" w:firstLineChars="200"/>
        <w:rPr>
          <w:rFonts w:ascii="仿宋_GB2312" w:eastAsia="仿宋_GB2312"/>
          <w:b/>
          <w:color w:val="000000"/>
          <w:spacing w:val="-2"/>
          <w:sz w:val="32"/>
          <w:szCs w:val="32"/>
        </w:rPr>
      </w:pPr>
    </w:p>
    <w:p w14:paraId="15E6C450">
      <w:pPr>
        <w:ind w:firstLine="640" w:firstLineChars="200"/>
        <w:jc w:val="center"/>
        <w:rPr>
          <w:rFonts w:ascii="黑体" w:eastAsia="黑体"/>
          <w:sz w:val="32"/>
          <w:szCs w:val="32"/>
        </w:rPr>
      </w:pPr>
    </w:p>
    <w:p w14:paraId="6322DC70">
      <w:pPr>
        <w:ind w:firstLine="640" w:firstLineChars="200"/>
        <w:jc w:val="center"/>
        <w:rPr>
          <w:rFonts w:ascii="黑体" w:eastAsia="黑体"/>
          <w:sz w:val="32"/>
          <w:szCs w:val="32"/>
        </w:rPr>
      </w:pPr>
    </w:p>
    <w:p w14:paraId="2641BA50">
      <w:pPr>
        <w:ind w:firstLine="640" w:firstLineChars="200"/>
        <w:jc w:val="center"/>
        <w:rPr>
          <w:rFonts w:ascii="黑体" w:eastAsia="黑体"/>
          <w:sz w:val="32"/>
          <w:szCs w:val="32"/>
        </w:rPr>
      </w:pPr>
      <w:r>
        <w:rPr>
          <w:rFonts w:hint="eastAsia" w:ascii="黑体" w:eastAsia="黑体"/>
          <w:sz w:val="32"/>
          <w:szCs w:val="32"/>
        </w:rPr>
        <w:t>第四部分  2023年度部门绩效评价情况</w:t>
      </w:r>
    </w:p>
    <w:p w14:paraId="54072A4B">
      <w:pPr>
        <w:ind w:firstLine="560" w:firstLineChars="200"/>
        <w:rPr>
          <w:rFonts w:ascii="黑体" w:eastAsia="黑体"/>
          <w:sz w:val="28"/>
          <w:szCs w:val="28"/>
          <w:highlight w:val="yellow"/>
        </w:rPr>
      </w:pPr>
    </w:p>
    <w:p w14:paraId="50AD330F">
      <w:pPr>
        <w:ind w:firstLine="560" w:firstLineChars="200"/>
        <w:rPr>
          <w:rFonts w:ascii="黑体" w:eastAsia="黑体"/>
          <w:sz w:val="28"/>
          <w:szCs w:val="28"/>
        </w:rPr>
      </w:pPr>
      <w:r>
        <w:rPr>
          <w:rFonts w:hint="eastAsia" w:ascii="黑体" w:eastAsia="黑体"/>
          <w:sz w:val="28"/>
          <w:szCs w:val="28"/>
        </w:rPr>
        <w:t>一、部门整体绩效评价报告（详见附件）</w:t>
      </w:r>
    </w:p>
    <w:p w14:paraId="17A8F9C5">
      <w:pPr>
        <w:ind w:firstLine="560" w:firstLineChars="200"/>
        <w:rPr>
          <w:rFonts w:ascii="黑体" w:eastAsia="黑体"/>
          <w:sz w:val="28"/>
          <w:szCs w:val="28"/>
        </w:rPr>
      </w:pPr>
      <w:r>
        <w:rPr>
          <w:rFonts w:hint="eastAsia" w:ascii="黑体" w:eastAsia="黑体"/>
          <w:sz w:val="28"/>
          <w:szCs w:val="28"/>
        </w:rPr>
        <w:t>二、项目支出绩效评价报告（详见附件）</w:t>
      </w:r>
    </w:p>
    <w:p w14:paraId="6D75B558">
      <w:pPr>
        <w:ind w:firstLine="560" w:firstLineChars="200"/>
      </w:pPr>
      <w:r>
        <w:rPr>
          <w:rFonts w:hint="eastAsia" w:ascii="黑体" w:eastAsia="黑体"/>
          <w:sz w:val="28"/>
          <w:szCs w:val="28"/>
        </w:rPr>
        <w:t>三</w:t>
      </w:r>
      <w:r>
        <w:rPr>
          <w:rFonts w:ascii="黑体" w:eastAsia="黑体"/>
          <w:sz w:val="28"/>
          <w:szCs w:val="28"/>
        </w:rPr>
        <w:t>、</w:t>
      </w: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p>
    <w:p w14:paraId="61DE736A"/>
    <w:p w14:paraId="2ED3F38B">
      <w:pPr>
        <w:pStyle w:val="3"/>
      </w:pPr>
      <w:bookmarkStart w:id="0" w:name="_GoBack"/>
      <w:bookmarkEnd w:id="0"/>
    </w:p>
    <w:p w14:paraId="5E2790E0"/>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06810">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52EC2EE3">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89586">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13AC551E">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C2AAB">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3B3BCED1">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iMTY1MTU5YmQ2OGVkOWRjNGVhYWZkNjc3MjA3NDE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79004AC"/>
    <w:rsid w:val="0F8E2C57"/>
    <w:rsid w:val="1059665E"/>
    <w:rsid w:val="10AC13BA"/>
    <w:rsid w:val="167842E8"/>
    <w:rsid w:val="1AEC0734"/>
    <w:rsid w:val="1DEF20B0"/>
    <w:rsid w:val="214243FA"/>
    <w:rsid w:val="21AD613C"/>
    <w:rsid w:val="257A14F5"/>
    <w:rsid w:val="26461EFE"/>
    <w:rsid w:val="27196C26"/>
    <w:rsid w:val="29EF086F"/>
    <w:rsid w:val="2EFFE297"/>
    <w:rsid w:val="301437CA"/>
    <w:rsid w:val="34DD0473"/>
    <w:rsid w:val="433E495C"/>
    <w:rsid w:val="4AC27CB3"/>
    <w:rsid w:val="4BF72BEF"/>
    <w:rsid w:val="51DB3C59"/>
    <w:rsid w:val="550C0952"/>
    <w:rsid w:val="55762E42"/>
    <w:rsid w:val="57A7B272"/>
    <w:rsid w:val="58470068"/>
    <w:rsid w:val="5A1720F9"/>
    <w:rsid w:val="5B9C37C2"/>
    <w:rsid w:val="5BA7C654"/>
    <w:rsid w:val="64C0607C"/>
    <w:rsid w:val="676F09E1"/>
    <w:rsid w:val="7A7F1C49"/>
    <w:rsid w:val="7B5B7AE6"/>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autoRedefine/>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autoRedefine/>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autoRedefine/>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ysClr val="windowText" lastClr="000000"/>
                </a:solidFill>
                <a:latin typeface="+mn-lt"/>
                <a:ea typeface="+mn-ea"/>
                <a:cs typeface="+mn-cs"/>
              </a:defRPr>
            </a:pPr>
            <a:r>
              <a:rPr lang="en-US">
                <a:solidFill>
                  <a:sysClr val="windowText" lastClr="000000"/>
                </a:solidFill>
              </a:rPr>
              <a:t>收入决算</a:t>
            </a:r>
            <a:endParaRPr lang="en-US" sz="1100">
              <a:solidFill>
                <a:sysClr val="windowText" lastClr="000000"/>
              </a:solidFill>
            </a:endParaRP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solidFill>
                        <a:latin typeface="+mn-lt"/>
                        <a:ea typeface="+mn-ea"/>
                        <a:cs typeface="+mn-cs"/>
                      </a:defRPr>
                    </a:pPr>
                    <a:r>
                      <a:rPr>
                        <a:solidFill>
                          <a:sysClr val="windowText" lastClr="000000"/>
                        </a:solidFill>
                      </a:rPr>
                      <a:t>99%</a:t>
                    </a:r>
                    <a:endParaRPr>
                      <a:solidFill>
                        <a:sysClr val="windowText" lastClr="000000"/>
                      </a:solidFill>
                    </a:endParaRPr>
                  </a:p>
                </c:rich>
              </c:tx>
              <c:dLblPos val="outEnd"/>
              <c:showLegendKey val="0"/>
              <c:showVal val="0"/>
              <c:showCatName val="0"/>
              <c:showSerName val="0"/>
              <c:showPercent val="1"/>
              <c:showBubbleSize val="0"/>
              <c:extLst>
                <c:ext xmlns:c15="http://schemas.microsoft.com/office/drawing/2012/chart" uri="{CE6537A1-D6FC-4f65-9D91-7224C49458BB}"/>
              </c:extLst>
            </c:dLbl>
            <c:dLbl>
              <c:idx val="1"/>
              <c:delete val="1"/>
            </c:dLbl>
            <c:dLbl>
              <c:idx val="2"/>
              <c:layout>
                <c:manualLayout>
                  <c:x val="-0.0154112055307504"/>
                  <c:y val="-0.0082009226037929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solidFill>
                        <a:latin typeface="+mn-lt"/>
                        <a:ea typeface="+mn-ea"/>
                        <a:cs typeface="+mn-cs"/>
                      </a:defRPr>
                    </a:pPr>
                    <a:r>
                      <a:rPr lang="en-US" altLang="zh-CN">
                        <a:solidFill>
                          <a:sysClr val="windowText" lastClr="000000"/>
                        </a:solidFill>
                      </a:rPr>
                      <a:t>1</a:t>
                    </a:r>
                    <a:r>
                      <a:rPr>
                        <a:solidFill>
                          <a:sysClr val="windowText" lastClr="000000"/>
                        </a:solidFill>
                      </a:rPr>
                      <a:t>%</a:t>
                    </a:r>
                    <a:endParaRPr>
                      <a:solidFill>
                        <a:sysClr val="windowText" lastClr="000000"/>
                      </a:solidFill>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3"/>
              <c:delete val="1"/>
            </c:dLbl>
            <c:dLbl>
              <c:idx val="4"/>
              <c:delete val="1"/>
            </c:dLbl>
            <c:dLbl>
              <c:idx val="5"/>
              <c:layout>
                <c:manualLayout>
                  <c:x val="0.0193000144029962"/>
                  <c:y val="0.12147616606868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solidFill>
                        <a:latin typeface="+mn-lt"/>
                        <a:ea typeface="+mn-ea"/>
                        <a:cs typeface="+mn-cs"/>
                      </a:defRPr>
                    </a:pPr>
                    <a:r>
                      <a:rPr>
                        <a:solidFill>
                          <a:sysClr val="windowText" lastClr="000000"/>
                        </a:solidFill>
                      </a:rPr>
                      <a:t>0%</a:t>
                    </a:r>
                    <a:endParaRPr>
                      <a:solidFill>
                        <a:sysClr val="windowText" lastClr="000000"/>
                      </a:solidFill>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43162.51</c:v>
                </c:pt>
                <c:pt idx="1">
                  <c:v>0</c:v>
                </c:pt>
                <c:pt idx="2">
                  <c:v>353.72</c:v>
                </c:pt>
                <c:pt idx="3">
                  <c:v>0</c:v>
                </c:pt>
                <c:pt idx="4">
                  <c:v>0</c:v>
                </c:pt>
                <c:pt idx="5">
                  <c:v>40.18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5"/>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1"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ysClr val="windowText" lastClr="000000"/>
                </a:solidFill>
                <a:latin typeface="+mn-lt"/>
                <a:ea typeface="+mn-ea"/>
                <a:cs typeface="+mn-cs"/>
              </a:defRPr>
            </a:pPr>
            <a:r>
              <a:rPr b="1">
                <a:solidFill>
                  <a:sysClr val="windowText" lastClr="000000"/>
                </a:solidFill>
              </a:rPr>
              <a:t>支出决算</a:t>
            </a:r>
            <a:endParaRPr b="1">
              <a:solidFill>
                <a:sysClr val="windowText" lastClr="000000"/>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spPr/>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0"/>
              <c:layout>
                <c:manualLayout>
                  <c:x val="0.0327777777777778"/>
                  <c:y val="-0.022222222222222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727777777777778"/>
                  <c:y val="-0.077083333333333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5153.15</c:v>
                </c:pt>
                <c:pt idx="1">
                  <c:v>37947.08</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zh-CN">
          <a:solidFill>
            <a:sysClr val="windowText" lastClr="000000"/>
          </a:solidFill>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spPr>
      <a:ln w="19050">
        <a:solidFill>
          <a:srgbClr val="FFFFFF"/>
        </a:solidFill>
      </a:ln>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3964</Words>
  <Characters>4429</Characters>
  <Lines>44</Lines>
  <Paragraphs>12</Paragraphs>
  <TotalTime>4</TotalTime>
  <ScaleCrop>false</ScaleCrop>
  <LinksUpToDate>false</LinksUpToDate>
  <CharactersWithSpaces>4447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葛晓利</cp:lastModifiedBy>
  <cp:lastPrinted>2020-08-07T11:39:00Z</cp:lastPrinted>
  <dcterms:modified xsi:type="dcterms:W3CDTF">2024-08-20T09:01:31Z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EF7A3950445E47D39D0A6FA1540AF246_13</vt:lpwstr>
  </property>
</Properties>
</file>